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083E1" w14:textId="41378E25" w:rsidR="00341703" w:rsidRDefault="00562393" w:rsidP="00645897">
      <w:pPr>
        <w:pStyle w:val="Header"/>
        <w:jc w:val="center"/>
        <w:rPr>
          <w:rFonts w:ascii="Arial" w:hAnsi="Arial" w:cs="Arial"/>
          <w:sz w:val="48"/>
          <w:szCs w:val="48"/>
        </w:rPr>
      </w:pPr>
      <w:r>
        <w:rPr>
          <w:rFonts w:ascii="Arial" w:hAnsi="Arial" w:cs="Arial"/>
          <w:sz w:val="48"/>
          <w:szCs w:val="48"/>
        </w:rPr>
        <w:t>Hollowell &amp; Teeton</w:t>
      </w:r>
      <w:r w:rsidR="00341703">
        <w:rPr>
          <w:rFonts w:ascii="Arial" w:hAnsi="Arial" w:cs="Arial"/>
          <w:sz w:val="48"/>
          <w:szCs w:val="48"/>
        </w:rPr>
        <w:t xml:space="preserve"> Parish Council </w:t>
      </w:r>
    </w:p>
    <w:p w14:paraId="304FA420" w14:textId="7E53884A" w:rsidR="00645897" w:rsidRPr="00954B12" w:rsidRDefault="00645897" w:rsidP="00645897">
      <w:pPr>
        <w:pStyle w:val="Header"/>
        <w:jc w:val="center"/>
        <w:rPr>
          <w:rFonts w:ascii="Arial" w:hAnsi="Arial" w:cs="Arial"/>
          <w:sz w:val="48"/>
          <w:szCs w:val="48"/>
        </w:rPr>
      </w:pPr>
      <w:r w:rsidRPr="00954B12">
        <w:rPr>
          <w:rFonts w:ascii="Arial" w:hAnsi="Arial" w:cs="Arial"/>
          <w:sz w:val="48"/>
          <w:szCs w:val="48"/>
        </w:rPr>
        <w:t>Financial Reserves Policy</w:t>
      </w:r>
    </w:p>
    <w:p w14:paraId="2CE06E16" w14:textId="38EC055A" w:rsidR="00645897" w:rsidRPr="00CA5B9E" w:rsidRDefault="00645897" w:rsidP="00645897">
      <w:pPr>
        <w:pStyle w:val="Header"/>
        <w:jc w:val="center"/>
        <w:rPr>
          <w:rFonts w:ascii="Arial" w:hAnsi="Arial" w:cs="Arial"/>
          <w:sz w:val="32"/>
          <w:szCs w:val="32"/>
        </w:rPr>
      </w:pPr>
    </w:p>
    <w:p w14:paraId="519632D9" w14:textId="59F03876" w:rsidR="00645897" w:rsidRDefault="00645897" w:rsidP="00645897">
      <w:pPr>
        <w:pStyle w:val="Header"/>
        <w:jc w:val="both"/>
        <w:rPr>
          <w:rFonts w:ascii="Arial" w:hAnsi="Arial" w:cs="Arial"/>
          <w:b/>
        </w:rPr>
      </w:pPr>
      <w:r w:rsidRPr="00954B12">
        <w:rPr>
          <w:rFonts w:ascii="Arial" w:hAnsi="Arial" w:cs="Arial"/>
          <w:b/>
        </w:rPr>
        <w:t>PURPOSE</w:t>
      </w:r>
    </w:p>
    <w:p w14:paraId="6FB2EC05" w14:textId="3E155DE6" w:rsidR="00341703" w:rsidRPr="00341703" w:rsidRDefault="00341703" w:rsidP="00645897">
      <w:pPr>
        <w:pStyle w:val="Header"/>
        <w:jc w:val="both"/>
        <w:rPr>
          <w:rFonts w:ascii="Arial" w:hAnsi="Arial" w:cs="Arial"/>
        </w:rPr>
      </w:pPr>
    </w:p>
    <w:p w14:paraId="54C0118D" w14:textId="4D195D56" w:rsidR="00341703" w:rsidRDefault="00562393" w:rsidP="00645897">
      <w:pPr>
        <w:pStyle w:val="Header"/>
        <w:jc w:val="both"/>
        <w:rPr>
          <w:rFonts w:ascii="Arial" w:hAnsi="Arial" w:cs="Arial"/>
        </w:rPr>
      </w:pPr>
      <w:r>
        <w:rPr>
          <w:rFonts w:ascii="Arial" w:hAnsi="Arial" w:cs="Arial"/>
        </w:rPr>
        <w:t>Hollowell &amp; Teeton</w:t>
      </w:r>
      <w:r w:rsidR="00341703">
        <w:rPr>
          <w:rFonts w:ascii="Arial" w:hAnsi="Arial" w:cs="Arial"/>
        </w:rPr>
        <w:t xml:space="preserve"> Parish Council is required to maintain adequate financial reserves. The purpose of this policy is to set out how the Council will determine and review the level of reserves.</w:t>
      </w:r>
    </w:p>
    <w:p w14:paraId="14CA114A" w14:textId="2705FC75" w:rsidR="00341703" w:rsidRDefault="00341703" w:rsidP="00645897">
      <w:pPr>
        <w:pStyle w:val="Header"/>
        <w:jc w:val="both"/>
        <w:rPr>
          <w:rFonts w:ascii="Arial" w:hAnsi="Arial" w:cs="Arial"/>
        </w:rPr>
      </w:pPr>
    </w:p>
    <w:p w14:paraId="0EB1CD4B" w14:textId="38A9FD8F" w:rsidR="00954B12" w:rsidRDefault="00341703" w:rsidP="00645897">
      <w:pPr>
        <w:pStyle w:val="Header"/>
        <w:jc w:val="both"/>
        <w:rPr>
          <w:rFonts w:ascii="Arial" w:hAnsi="Arial" w:cs="Arial"/>
        </w:rPr>
      </w:pPr>
      <w:r>
        <w:rPr>
          <w:rFonts w:ascii="Arial" w:hAnsi="Arial" w:cs="Arial"/>
        </w:rPr>
        <w:t xml:space="preserve">Sections 32 and 43 </w:t>
      </w:r>
      <w:r w:rsidR="0002780B">
        <w:rPr>
          <w:rFonts w:ascii="Arial" w:hAnsi="Arial" w:cs="Arial"/>
        </w:rPr>
        <w:t>o</w:t>
      </w:r>
      <w:r>
        <w:rPr>
          <w:rFonts w:ascii="Arial" w:hAnsi="Arial" w:cs="Arial"/>
        </w:rPr>
        <w:t xml:space="preserve">f the Local Government Finance Act 1992 require local authorities to have regard to the level of reserves needed for meeting estimated future expenditure when calculating the budget requirement. However, there is no specific minimum level of reserves that an authority should hold, and it is the responsibility </w:t>
      </w:r>
      <w:r w:rsidR="001509D3">
        <w:rPr>
          <w:rFonts w:ascii="Arial" w:hAnsi="Arial" w:cs="Arial"/>
        </w:rPr>
        <w:t xml:space="preserve">of the Responsible Financial Officer </w:t>
      </w:r>
      <w:r w:rsidR="004A76D1">
        <w:rPr>
          <w:rFonts w:ascii="Arial" w:hAnsi="Arial" w:cs="Arial"/>
        </w:rPr>
        <w:t xml:space="preserve">(RFO) </w:t>
      </w:r>
      <w:r w:rsidR="001509D3">
        <w:rPr>
          <w:rFonts w:ascii="Arial" w:hAnsi="Arial" w:cs="Arial"/>
        </w:rPr>
        <w:t>to advise the Council about the level of reserves and to ensure that there are procedures for their establishment</w:t>
      </w:r>
      <w:r w:rsidR="00C81D54">
        <w:rPr>
          <w:rFonts w:ascii="Arial" w:hAnsi="Arial" w:cs="Arial"/>
        </w:rPr>
        <w:t>, use and review.</w:t>
      </w:r>
      <w:r w:rsidR="001509D3">
        <w:rPr>
          <w:rFonts w:ascii="Arial" w:hAnsi="Arial" w:cs="Arial"/>
        </w:rPr>
        <w:t xml:space="preserve"> </w:t>
      </w:r>
    </w:p>
    <w:p w14:paraId="1CA278B2" w14:textId="1FFCF3B9" w:rsidR="007C5C47" w:rsidRDefault="007C5C47" w:rsidP="00645897">
      <w:pPr>
        <w:pStyle w:val="Header"/>
        <w:jc w:val="both"/>
        <w:rPr>
          <w:rFonts w:ascii="Arial" w:hAnsi="Arial" w:cs="Arial"/>
        </w:rPr>
      </w:pPr>
    </w:p>
    <w:p w14:paraId="55F9C5B9" w14:textId="43063E3C" w:rsidR="00645897" w:rsidRDefault="00645897" w:rsidP="00645897">
      <w:pPr>
        <w:pStyle w:val="Header"/>
        <w:jc w:val="both"/>
        <w:rPr>
          <w:rFonts w:ascii="Arial" w:hAnsi="Arial" w:cs="Arial"/>
          <w:b/>
        </w:rPr>
      </w:pPr>
      <w:r w:rsidRPr="007C5C47">
        <w:rPr>
          <w:rFonts w:ascii="Arial" w:hAnsi="Arial" w:cs="Arial"/>
          <w:b/>
        </w:rPr>
        <w:t xml:space="preserve">TYPE OF RESERVES </w:t>
      </w:r>
    </w:p>
    <w:p w14:paraId="618E5D7C" w14:textId="1E5ACE2F" w:rsidR="00A96EE1" w:rsidRDefault="00A96EE1" w:rsidP="00645897">
      <w:pPr>
        <w:pStyle w:val="Header"/>
        <w:jc w:val="both"/>
        <w:rPr>
          <w:rFonts w:ascii="Arial" w:hAnsi="Arial" w:cs="Arial"/>
          <w:b/>
        </w:rPr>
      </w:pPr>
    </w:p>
    <w:p w14:paraId="1CA4A8E5" w14:textId="61498E36" w:rsidR="00A96EE1" w:rsidRDefault="00A96EE1" w:rsidP="00645897">
      <w:pPr>
        <w:pStyle w:val="Header"/>
        <w:jc w:val="both"/>
        <w:rPr>
          <w:rFonts w:ascii="Arial" w:hAnsi="Arial" w:cs="Arial"/>
        </w:rPr>
      </w:pPr>
      <w:r>
        <w:rPr>
          <w:rFonts w:ascii="Arial" w:hAnsi="Arial" w:cs="Arial"/>
        </w:rPr>
        <w:t xml:space="preserve">Reserves can be categorised as General, Ringfenced or Earmarked. </w:t>
      </w:r>
      <w:r w:rsidR="003E1648">
        <w:rPr>
          <w:rFonts w:ascii="Arial" w:hAnsi="Arial" w:cs="Arial"/>
        </w:rPr>
        <w:t>Expenditure from the reserves can only be a</w:t>
      </w:r>
      <w:r w:rsidR="007F45A4">
        <w:rPr>
          <w:rFonts w:ascii="Arial" w:hAnsi="Arial" w:cs="Arial"/>
        </w:rPr>
        <w:t>uthorised by the P</w:t>
      </w:r>
      <w:r w:rsidR="003E1648">
        <w:rPr>
          <w:rFonts w:ascii="Arial" w:hAnsi="Arial" w:cs="Arial"/>
        </w:rPr>
        <w:t xml:space="preserve">arish Council. </w:t>
      </w:r>
    </w:p>
    <w:p w14:paraId="05A656F2" w14:textId="59622893" w:rsidR="00A96EE1" w:rsidRDefault="00A96EE1" w:rsidP="00645897">
      <w:pPr>
        <w:pStyle w:val="Header"/>
        <w:jc w:val="both"/>
        <w:rPr>
          <w:rFonts w:ascii="Arial" w:hAnsi="Arial" w:cs="Arial"/>
        </w:rPr>
      </w:pPr>
    </w:p>
    <w:p w14:paraId="72541CDA" w14:textId="30BB40DD" w:rsidR="00A96EE1" w:rsidRPr="00CC108C" w:rsidRDefault="00A96EE1" w:rsidP="00645897">
      <w:pPr>
        <w:pStyle w:val="Header"/>
        <w:jc w:val="both"/>
        <w:rPr>
          <w:rFonts w:ascii="Arial" w:hAnsi="Arial" w:cs="Arial"/>
        </w:rPr>
      </w:pPr>
      <w:r>
        <w:rPr>
          <w:rFonts w:ascii="Arial" w:hAnsi="Arial" w:cs="Arial"/>
          <w:b/>
        </w:rPr>
        <w:t>General Reserves</w:t>
      </w:r>
      <w:r w:rsidR="000F04A0">
        <w:rPr>
          <w:rFonts w:ascii="Arial" w:hAnsi="Arial" w:cs="Arial"/>
          <w:b/>
        </w:rPr>
        <w:t xml:space="preserve"> </w:t>
      </w:r>
      <w:r w:rsidR="00CC108C">
        <w:rPr>
          <w:rFonts w:ascii="Arial" w:hAnsi="Arial" w:cs="Arial"/>
        </w:rPr>
        <w:t>are funds which do not have any restrictions as to their use. These reserves can be used to smooth the impact of uneven cash flows, offset the budget requirements if necessary or can be held in case of unexpected events or emergen</w:t>
      </w:r>
      <w:r w:rsidR="00CC0523">
        <w:rPr>
          <w:rFonts w:ascii="Arial" w:hAnsi="Arial" w:cs="Arial"/>
        </w:rPr>
        <w:t>cies. The Council must build and maintain sufficient working balances to cover key risks, as expressed in its Risk Assessment which is review</w:t>
      </w:r>
      <w:r w:rsidR="0002780B">
        <w:rPr>
          <w:rFonts w:ascii="Arial" w:hAnsi="Arial" w:cs="Arial"/>
        </w:rPr>
        <w:t>ed</w:t>
      </w:r>
      <w:r w:rsidR="00CC0523">
        <w:rPr>
          <w:rFonts w:ascii="Arial" w:hAnsi="Arial" w:cs="Arial"/>
        </w:rPr>
        <w:t xml:space="preserve"> annually. </w:t>
      </w:r>
      <w:r w:rsidR="00562393">
        <w:rPr>
          <w:rFonts w:ascii="Arial" w:hAnsi="Arial" w:cs="Arial"/>
        </w:rPr>
        <w:t>Hollowell &amp; Teeton</w:t>
      </w:r>
      <w:r w:rsidR="00C81D54">
        <w:rPr>
          <w:rFonts w:ascii="Arial" w:hAnsi="Arial" w:cs="Arial"/>
        </w:rPr>
        <w:t xml:space="preserve"> </w:t>
      </w:r>
      <w:r w:rsidR="00CC0523">
        <w:rPr>
          <w:rFonts w:ascii="Arial" w:hAnsi="Arial" w:cs="Arial"/>
        </w:rPr>
        <w:t xml:space="preserve">Parish </w:t>
      </w:r>
      <w:r w:rsidR="00C53C8D">
        <w:rPr>
          <w:rFonts w:ascii="Arial" w:hAnsi="Arial" w:cs="Arial"/>
        </w:rPr>
        <w:t xml:space="preserve">Council has </w:t>
      </w:r>
      <w:r w:rsidR="003B4C04" w:rsidRPr="005F1A9C">
        <w:rPr>
          <w:rFonts w:ascii="Arial" w:hAnsi="Arial" w:cs="Arial"/>
        </w:rPr>
        <w:t>set</w:t>
      </w:r>
      <w:r w:rsidR="00C53C8D" w:rsidRPr="005F1A9C">
        <w:rPr>
          <w:rFonts w:ascii="Arial" w:hAnsi="Arial" w:cs="Arial"/>
        </w:rPr>
        <w:t xml:space="preserve"> the level of reserves to be held a</w:t>
      </w:r>
      <w:r w:rsidR="003B4C04" w:rsidRPr="005F1A9C">
        <w:rPr>
          <w:rFonts w:ascii="Arial" w:hAnsi="Arial" w:cs="Arial"/>
        </w:rPr>
        <w:t>t</w:t>
      </w:r>
      <w:r w:rsidR="00C53C8D" w:rsidRPr="005F1A9C">
        <w:rPr>
          <w:rFonts w:ascii="Arial" w:hAnsi="Arial" w:cs="Arial"/>
        </w:rPr>
        <w:t xml:space="preserve"> minimum of 50% </w:t>
      </w:r>
      <w:r w:rsidR="005F1A9C" w:rsidRPr="005F1A9C">
        <w:rPr>
          <w:rFonts w:ascii="Arial" w:hAnsi="Arial" w:cs="Arial"/>
        </w:rPr>
        <w:t xml:space="preserve">of the </w:t>
      </w:r>
      <w:r w:rsidR="005F1A9C">
        <w:rPr>
          <w:rFonts w:ascii="Arial" w:hAnsi="Arial" w:cs="Arial"/>
        </w:rPr>
        <w:t>Council’s annual budget.</w:t>
      </w:r>
    </w:p>
    <w:p w14:paraId="1FD4D426" w14:textId="0A6CB5AD" w:rsidR="00A96EE1" w:rsidRDefault="00A96EE1" w:rsidP="00645897">
      <w:pPr>
        <w:pStyle w:val="Header"/>
        <w:jc w:val="both"/>
        <w:rPr>
          <w:rFonts w:ascii="Arial" w:hAnsi="Arial" w:cs="Arial"/>
        </w:rPr>
      </w:pPr>
    </w:p>
    <w:p w14:paraId="07825F3B" w14:textId="764E22E1" w:rsidR="00A96EE1" w:rsidRDefault="00A96EE1" w:rsidP="00645897">
      <w:pPr>
        <w:pStyle w:val="Header"/>
        <w:jc w:val="both"/>
        <w:rPr>
          <w:rFonts w:ascii="Arial" w:hAnsi="Arial" w:cs="Arial"/>
        </w:rPr>
      </w:pPr>
      <w:r w:rsidRPr="00A96EE1">
        <w:rPr>
          <w:rFonts w:ascii="Arial" w:hAnsi="Arial" w:cs="Arial"/>
          <w:b/>
        </w:rPr>
        <w:t xml:space="preserve">Ringfenced </w:t>
      </w:r>
      <w:r>
        <w:rPr>
          <w:rFonts w:ascii="Arial" w:hAnsi="Arial" w:cs="Arial"/>
          <w:b/>
        </w:rPr>
        <w:t xml:space="preserve">Reserves </w:t>
      </w:r>
      <w:r w:rsidR="00773D7B">
        <w:rPr>
          <w:rFonts w:ascii="Arial" w:hAnsi="Arial" w:cs="Arial"/>
        </w:rPr>
        <w:t>are grants allocated for a specific project only, this money must not be used for any other purpose.</w:t>
      </w:r>
    </w:p>
    <w:p w14:paraId="2E9CF9D1" w14:textId="572885F0" w:rsidR="00773D7B" w:rsidRDefault="00773D7B" w:rsidP="00645897">
      <w:pPr>
        <w:pStyle w:val="Header"/>
        <w:jc w:val="both"/>
        <w:rPr>
          <w:rFonts w:ascii="Arial" w:hAnsi="Arial" w:cs="Arial"/>
        </w:rPr>
      </w:pPr>
    </w:p>
    <w:p w14:paraId="48A73F2C" w14:textId="45EF8BA7" w:rsidR="00773D7B" w:rsidRPr="00773D7B" w:rsidRDefault="00773D7B" w:rsidP="000F04A0">
      <w:pPr>
        <w:pStyle w:val="Header"/>
        <w:jc w:val="both"/>
        <w:rPr>
          <w:rFonts w:ascii="Arial" w:hAnsi="Arial" w:cs="Arial"/>
        </w:rPr>
      </w:pPr>
      <w:r>
        <w:rPr>
          <w:rFonts w:ascii="Arial" w:hAnsi="Arial" w:cs="Arial"/>
          <w:b/>
        </w:rPr>
        <w:t xml:space="preserve">Earmarked Reserves </w:t>
      </w:r>
      <w:r>
        <w:rPr>
          <w:rFonts w:ascii="Arial" w:hAnsi="Arial" w:cs="Arial"/>
        </w:rPr>
        <w:t>are</w:t>
      </w:r>
      <w:r w:rsidR="00D32CBC">
        <w:rPr>
          <w:rFonts w:ascii="Arial" w:hAnsi="Arial" w:cs="Arial"/>
        </w:rPr>
        <w:t xml:space="preserve"> </w:t>
      </w:r>
      <w:r>
        <w:rPr>
          <w:rFonts w:ascii="Arial" w:hAnsi="Arial" w:cs="Arial"/>
        </w:rPr>
        <w:t xml:space="preserve">a means of </w:t>
      </w:r>
      <w:r w:rsidR="00D32CBC">
        <w:rPr>
          <w:rFonts w:ascii="Arial" w:hAnsi="Arial" w:cs="Arial"/>
        </w:rPr>
        <w:t xml:space="preserve">setting aside or </w:t>
      </w:r>
      <w:r>
        <w:rPr>
          <w:rFonts w:ascii="Arial" w:hAnsi="Arial" w:cs="Arial"/>
        </w:rPr>
        <w:t>building up funds over several years to deliver a defined project, predicted liabilities or for know</w:t>
      </w:r>
      <w:r w:rsidR="000F04A0">
        <w:rPr>
          <w:rFonts w:ascii="Arial" w:hAnsi="Arial" w:cs="Arial"/>
        </w:rPr>
        <w:t xml:space="preserve">n </w:t>
      </w:r>
      <w:r>
        <w:rPr>
          <w:rFonts w:ascii="Arial" w:hAnsi="Arial" w:cs="Arial"/>
        </w:rPr>
        <w:t>significant expenditure.</w:t>
      </w:r>
      <w:r w:rsidR="000F04A0">
        <w:rPr>
          <w:rFonts w:ascii="Arial" w:hAnsi="Arial" w:cs="Arial"/>
        </w:rPr>
        <w:t xml:space="preserve"> </w:t>
      </w:r>
      <w:r>
        <w:rPr>
          <w:rFonts w:ascii="Arial" w:hAnsi="Arial" w:cs="Arial"/>
        </w:rPr>
        <w:t>The</w:t>
      </w:r>
      <w:r w:rsidR="00D55B76">
        <w:rPr>
          <w:rFonts w:ascii="Arial" w:hAnsi="Arial" w:cs="Arial"/>
        </w:rPr>
        <w:t>y</w:t>
      </w:r>
      <w:r>
        <w:rPr>
          <w:rFonts w:ascii="Arial" w:hAnsi="Arial" w:cs="Arial"/>
        </w:rPr>
        <w:t xml:space="preserve"> are not to be used for emergency operations. Earmarked reserves must be reviewed and/or established by the Council at the annual budget setting meeting.  Any changes to the proposed use of reserves must be agreed by the Council. The RFO will note earmarked reserves movements at the end of the financial year. </w:t>
      </w:r>
    </w:p>
    <w:p w14:paraId="32515DD9" w14:textId="768A0D85" w:rsidR="00A96EE1" w:rsidRDefault="00A96EE1" w:rsidP="00645897">
      <w:pPr>
        <w:pStyle w:val="Header"/>
        <w:jc w:val="both"/>
        <w:rPr>
          <w:rFonts w:ascii="Arial" w:hAnsi="Arial" w:cs="Arial"/>
          <w:b/>
        </w:rPr>
      </w:pPr>
    </w:p>
    <w:p w14:paraId="613071C5" w14:textId="2714A68D" w:rsidR="00645897" w:rsidRPr="00DD28E1" w:rsidRDefault="00645897" w:rsidP="00645897">
      <w:pPr>
        <w:pStyle w:val="Header"/>
        <w:jc w:val="both"/>
        <w:rPr>
          <w:rFonts w:ascii="Arial" w:hAnsi="Arial" w:cs="Arial"/>
          <w:b/>
        </w:rPr>
      </w:pPr>
      <w:r w:rsidRPr="00DD28E1">
        <w:rPr>
          <w:rFonts w:ascii="Arial" w:hAnsi="Arial" w:cs="Arial"/>
          <w:b/>
        </w:rPr>
        <w:t xml:space="preserve">REVIEW OF RESERVES </w:t>
      </w:r>
    </w:p>
    <w:p w14:paraId="5E4634D4" w14:textId="46659F67" w:rsidR="00645897" w:rsidRPr="00DD28E1" w:rsidRDefault="00645897" w:rsidP="00645897">
      <w:pPr>
        <w:pStyle w:val="Header"/>
        <w:jc w:val="both"/>
        <w:rPr>
          <w:rFonts w:ascii="Arial" w:hAnsi="Arial" w:cs="Arial"/>
        </w:rPr>
      </w:pPr>
    </w:p>
    <w:p w14:paraId="43A10BF5" w14:textId="3D39CF02" w:rsidR="00645897" w:rsidRDefault="00A57E55" w:rsidP="00645897">
      <w:pPr>
        <w:pStyle w:val="Header"/>
        <w:jc w:val="both"/>
        <w:rPr>
          <w:rFonts w:ascii="Arial" w:hAnsi="Arial" w:cs="Arial"/>
        </w:rPr>
      </w:pPr>
      <w:r>
        <w:rPr>
          <w:rFonts w:ascii="Arial" w:hAnsi="Arial" w:cs="Arial"/>
        </w:rPr>
        <w:t xml:space="preserve">The Reserves Policy and Reserves </w:t>
      </w:r>
      <w:r w:rsidR="00D32CBC">
        <w:rPr>
          <w:rFonts w:ascii="Arial" w:hAnsi="Arial" w:cs="Arial"/>
        </w:rPr>
        <w:t xml:space="preserve">held by the </w:t>
      </w:r>
      <w:r>
        <w:rPr>
          <w:rFonts w:ascii="Arial" w:hAnsi="Arial" w:cs="Arial"/>
        </w:rPr>
        <w:t>Council are to be reviewed annually as part of the budget and precept setting process.</w:t>
      </w:r>
    </w:p>
    <w:p w14:paraId="38C54ED2" w14:textId="046D94CD" w:rsidR="00A57E55" w:rsidRDefault="00A57E55" w:rsidP="00645897">
      <w:pPr>
        <w:pStyle w:val="Header"/>
        <w:jc w:val="both"/>
        <w:rPr>
          <w:rFonts w:ascii="Arial" w:hAnsi="Arial" w:cs="Arial"/>
        </w:rPr>
      </w:pPr>
    </w:p>
    <w:p w14:paraId="4825B852" w14:textId="77777777" w:rsidR="00A57E55" w:rsidRPr="00A57E55" w:rsidRDefault="00A57E55" w:rsidP="00A57E55">
      <w:pPr>
        <w:pStyle w:val="Header"/>
        <w:jc w:val="both"/>
        <w:rPr>
          <w:rFonts w:ascii="Arial" w:hAnsi="Arial" w:cs="Arial"/>
          <w:b/>
        </w:rPr>
      </w:pPr>
      <w:r w:rsidRPr="00A57E55">
        <w:rPr>
          <w:rFonts w:ascii="Arial" w:hAnsi="Arial" w:cs="Arial"/>
          <w:b/>
        </w:rPr>
        <w:t>CURRENT LEVEL OF FINANCIAL RESERVES</w:t>
      </w:r>
    </w:p>
    <w:p w14:paraId="7D2071E2" w14:textId="473D2B06" w:rsidR="00A57E55" w:rsidRDefault="00A57E55" w:rsidP="00645897">
      <w:pPr>
        <w:pStyle w:val="Header"/>
        <w:jc w:val="both"/>
        <w:rPr>
          <w:rFonts w:ascii="Arial" w:hAnsi="Arial" w:cs="Arial"/>
        </w:rPr>
      </w:pPr>
    </w:p>
    <w:tbl>
      <w:tblPr>
        <w:tblStyle w:val="TableGrid"/>
        <w:tblW w:w="0" w:type="auto"/>
        <w:tblLook w:val="04A0" w:firstRow="1" w:lastRow="0" w:firstColumn="1" w:lastColumn="0" w:noHBand="0" w:noVBand="1"/>
      </w:tblPr>
      <w:tblGrid>
        <w:gridCol w:w="2660"/>
        <w:gridCol w:w="4961"/>
        <w:gridCol w:w="1395"/>
      </w:tblGrid>
      <w:tr w:rsidR="00A57E55" w14:paraId="582F87E0" w14:textId="77777777" w:rsidTr="003C52F4">
        <w:tc>
          <w:tcPr>
            <w:tcW w:w="2660" w:type="dxa"/>
          </w:tcPr>
          <w:p w14:paraId="620A750A" w14:textId="3A514FE4" w:rsidR="00A57E55" w:rsidRPr="005C5F78" w:rsidRDefault="005C5F78" w:rsidP="00645897">
            <w:pPr>
              <w:pStyle w:val="Header"/>
              <w:jc w:val="both"/>
              <w:rPr>
                <w:rFonts w:ascii="Arial" w:hAnsi="Arial" w:cs="Arial"/>
                <w:b/>
              </w:rPr>
            </w:pPr>
            <w:r>
              <w:rPr>
                <w:rFonts w:ascii="Arial" w:hAnsi="Arial" w:cs="Arial"/>
                <w:b/>
              </w:rPr>
              <w:t xml:space="preserve">Type of </w:t>
            </w:r>
            <w:r w:rsidR="00A57E55" w:rsidRPr="005C5F78">
              <w:rPr>
                <w:rFonts w:ascii="Arial" w:hAnsi="Arial" w:cs="Arial"/>
                <w:b/>
              </w:rPr>
              <w:t xml:space="preserve">Reserves </w:t>
            </w:r>
          </w:p>
        </w:tc>
        <w:tc>
          <w:tcPr>
            <w:tcW w:w="4961" w:type="dxa"/>
          </w:tcPr>
          <w:p w14:paraId="4638F692" w14:textId="34F0771D" w:rsidR="00A57E55" w:rsidRPr="005C5F78" w:rsidRDefault="00A57E55" w:rsidP="00645897">
            <w:pPr>
              <w:pStyle w:val="Header"/>
              <w:jc w:val="both"/>
              <w:rPr>
                <w:rFonts w:ascii="Arial" w:hAnsi="Arial" w:cs="Arial"/>
                <w:b/>
              </w:rPr>
            </w:pPr>
            <w:r w:rsidRPr="005C5F78">
              <w:rPr>
                <w:rFonts w:ascii="Arial" w:hAnsi="Arial" w:cs="Arial"/>
                <w:b/>
              </w:rPr>
              <w:t xml:space="preserve">Purpose </w:t>
            </w:r>
          </w:p>
        </w:tc>
        <w:tc>
          <w:tcPr>
            <w:tcW w:w="1395" w:type="dxa"/>
          </w:tcPr>
          <w:p w14:paraId="12581523" w14:textId="371CD8D0" w:rsidR="00A57E55" w:rsidRPr="005C5F78" w:rsidRDefault="00A57E55" w:rsidP="00645897">
            <w:pPr>
              <w:pStyle w:val="Header"/>
              <w:jc w:val="both"/>
              <w:rPr>
                <w:rFonts w:ascii="Arial" w:hAnsi="Arial" w:cs="Arial"/>
                <w:b/>
              </w:rPr>
            </w:pPr>
            <w:r w:rsidRPr="005C5F78">
              <w:rPr>
                <w:rFonts w:ascii="Arial" w:hAnsi="Arial" w:cs="Arial"/>
                <w:b/>
              </w:rPr>
              <w:t xml:space="preserve">Amount </w:t>
            </w:r>
          </w:p>
        </w:tc>
      </w:tr>
      <w:tr w:rsidR="005F1A9C" w14:paraId="1819B64F" w14:textId="77777777" w:rsidTr="003C52F4">
        <w:tc>
          <w:tcPr>
            <w:tcW w:w="2660" w:type="dxa"/>
          </w:tcPr>
          <w:p w14:paraId="66426C6B" w14:textId="5C72A323" w:rsidR="005F1A9C" w:rsidRDefault="005C5F78" w:rsidP="00645897">
            <w:pPr>
              <w:pStyle w:val="Header"/>
              <w:jc w:val="both"/>
              <w:rPr>
                <w:rFonts w:ascii="Arial" w:hAnsi="Arial" w:cs="Arial"/>
              </w:rPr>
            </w:pPr>
            <w:r>
              <w:rPr>
                <w:rFonts w:ascii="Arial" w:hAnsi="Arial" w:cs="Arial"/>
              </w:rPr>
              <w:t xml:space="preserve">General Reserves </w:t>
            </w:r>
          </w:p>
        </w:tc>
        <w:tc>
          <w:tcPr>
            <w:tcW w:w="4961" w:type="dxa"/>
          </w:tcPr>
          <w:p w14:paraId="1D462275" w14:textId="47FAB940" w:rsidR="005F1A9C" w:rsidRDefault="00297294" w:rsidP="00645897">
            <w:pPr>
              <w:pStyle w:val="Header"/>
              <w:jc w:val="both"/>
              <w:rPr>
                <w:rFonts w:ascii="Arial" w:hAnsi="Arial" w:cs="Arial"/>
              </w:rPr>
            </w:pPr>
            <w:r>
              <w:rPr>
                <w:rFonts w:ascii="Arial" w:hAnsi="Arial" w:cs="Arial"/>
              </w:rPr>
              <w:t>50% Annual Budget</w:t>
            </w:r>
          </w:p>
        </w:tc>
        <w:tc>
          <w:tcPr>
            <w:tcW w:w="1395" w:type="dxa"/>
          </w:tcPr>
          <w:p w14:paraId="26A4B753" w14:textId="34E49F07" w:rsidR="005F1A9C" w:rsidRDefault="005168A1" w:rsidP="00645897">
            <w:pPr>
              <w:pStyle w:val="Header"/>
              <w:jc w:val="both"/>
              <w:rPr>
                <w:rFonts w:ascii="Arial" w:hAnsi="Arial" w:cs="Arial"/>
              </w:rPr>
            </w:pPr>
            <w:r>
              <w:rPr>
                <w:rFonts w:ascii="Arial" w:hAnsi="Arial" w:cs="Arial"/>
              </w:rPr>
              <w:t>£</w:t>
            </w:r>
            <w:r w:rsidR="00D32013">
              <w:rPr>
                <w:rFonts w:ascii="Arial" w:hAnsi="Arial" w:cs="Arial"/>
              </w:rPr>
              <w:t>7,768</w:t>
            </w:r>
          </w:p>
        </w:tc>
      </w:tr>
      <w:tr w:rsidR="00A57E55" w14:paraId="7125280E" w14:textId="77777777" w:rsidTr="003C52F4">
        <w:tc>
          <w:tcPr>
            <w:tcW w:w="2660" w:type="dxa"/>
          </w:tcPr>
          <w:p w14:paraId="327C8401" w14:textId="2AC7CFBF" w:rsidR="005C5F78" w:rsidRDefault="003C52F4" w:rsidP="00645897">
            <w:pPr>
              <w:pStyle w:val="Header"/>
              <w:jc w:val="both"/>
              <w:rPr>
                <w:rFonts w:ascii="Arial" w:hAnsi="Arial" w:cs="Arial"/>
              </w:rPr>
            </w:pPr>
            <w:r>
              <w:rPr>
                <w:rFonts w:ascii="Arial" w:hAnsi="Arial" w:cs="Arial"/>
              </w:rPr>
              <w:t>Earmarked</w:t>
            </w:r>
            <w:r w:rsidR="005C5F78">
              <w:rPr>
                <w:rFonts w:ascii="Arial" w:hAnsi="Arial" w:cs="Arial"/>
              </w:rPr>
              <w:t xml:space="preserve"> Reserves </w:t>
            </w:r>
          </w:p>
        </w:tc>
        <w:tc>
          <w:tcPr>
            <w:tcW w:w="4961" w:type="dxa"/>
          </w:tcPr>
          <w:p w14:paraId="6DE0D5DB" w14:textId="05AD4D94" w:rsidR="00A57E55" w:rsidRDefault="00402E88" w:rsidP="00645897">
            <w:pPr>
              <w:pStyle w:val="Header"/>
              <w:jc w:val="both"/>
              <w:rPr>
                <w:rFonts w:ascii="Arial" w:hAnsi="Arial" w:cs="Arial"/>
              </w:rPr>
            </w:pPr>
            <w:r>
              <w:rPr>
                <w:rFonts w:ascii="Arial" w:hAnsi="Arial" w:cs="Arial"/>
              </w:rPr>
              <w:t xml:space="preserve">Pension provision </w:t>
            </w:r>
          </w:p>
        </w:tc>
        <w:tc>
          <w:tcPr>
            <w:tcW w:w="1395" w:type="dxa"/>
          </w:tcPr>
          <w:p w14:paraId="657914F0" w14:textId="0EAFB487" w:rsidR="00A57E55" w:rsidRDefault="00402E88" w:rsidP="00645897">
            <w:pPr>
              <w:pStyle w:val="Header"/>
              <w:jc w:val="both"/>
              <w:rPr>
                <w:rFonts w:ascii="Arial" w:hAnsi="Arial" w:cs="Arial"/>
              </w:rPr>
            </w:pPr>
            <w:r>
              <w:rPr>
                <w:rFonts w:ascii="Arial" w:hAnsi="Arial" w:cs="Arial"/>
              </w:rPr>
              <w:t>£500</w:t>
            </w:r>
          </w:p>
        </w:tc>
      </w:tr>
      <w:tr w:rsidR="00A57E55" w14:paraId="4B05FA23" w14:textId="77777777" w:rsidTr="003C52F4">
        <w:tc>
          <w:tcPr>
            <w:tcW w:w="2660" w:type="dxa"/>
          </w:tcPr>
          <w:p w14:paraId="397E9E5E" w14:textId="2DC65AD7" w:rsidR="00A57E55" w:rsidRDefault="003C52F4" w:rsidP="00645897">
            <w:pPr>
              <w:pStyle w:val="Header"/>
              <w:jc w:val="both"/>
              <w:rPr>
                <w:rFonts w:ascii="Arial" w:hAnsi="Arial" w:cs="Arial"/>
              </w:rPr>
            </w:pPr>
            <w:r>
              <w:rPr>
                <w:rFonts w:ascii="Arial" w:hAnsi="Arial" w:cs="Arial"/>
              </w:rPr>
              <w:t>Earmarked</w:t>
            </w:r>
            <w:r w:rsidR="005C5F78">
              <w:rPr>
                <w:rFonts w:ascii="Arial" w:hAnsi="Arial" w:cs="Arial"/>
              </w:rPr>
              <w:t xml:space="preserve"> Reserves </w:t>
            </w:r>
          </w:p>
        </w:tc>
        <w:tc>
          <w:tcPr>
            <w:tcW w:w="4961" w:type="dxa"/>
          </w:tcPr>
          <w:p w14:paraId="498E4A99" w14:textId="6485D286" w:rsidR="00A57E55" w:rsidRDefault="00402E88" w:rsidP="00645897">
            <w:pPr>
              <w:pStyle w:val="Header"/>
              <w:jc w:val="both"/>
              <w:rPr>
                <w:rFonts w:ascii="Arial" w:hAnsi="Arial" w:cs="Arial"/>
              </w:rPr>
            </w:pPr>
            <w:r>
              <w:rPr>
                <w:rFonts w:ascii="Arial" w:hAnsi="Arial" w:cs="Arial"/>
              </w:rPr>
              <w:t>Election Funds</w:t>
            </w:r>
          </w:p>
        </w:tc>
        <w:tc>
          <w:tcPr>
            <w:tcW w:w="1395" w:type="dxa"/>
          </w:tcPr>
          <w:p w14:paraId="72D0B03D" w14:textId="7CEA3B83" w:rsidR="00A57E55" w:rsidRDefault="00402E88" w:rsidP="00645897">
            <w:pPr>
              <w:pStyle w:val="Header"/>
              <w:jc w:val="both"/>
              <w:rPr>
                <w:rFonts w:ascii="Arial" w:hAnsi="Arial" w:cs="Arial"/>
              </w:rPr>
            </w:pPr>
            <w:r>
              <w:rPr>
                <w:rFonts w:ascii="Arial" w:hAnsi="Arial" w:cs="Arial"/>
              </w:rPr>
              <w:t>£800</w:t>
            </w:r>
          </w:p>
        </w:tc>
      </w:tr>
      <w:tr w:rsidR="00A57E55" w14:paraId="380236C1" w14:textId="77777777" w:rsidTr="003C52F4">
        <w:tc>
          <w:tcPr>
            <w:tcW w:w="2660" w:type="dxa"/>
          </w:tcPr>
          <w:p w14:paraId="3F59F2CC" w14:textId="19DC8E09" w:rsidR="00A57E55" w:rsidRDefault="003C52F4" w:rsidP="00645897">
            <w:pPr>
              <w:pStyle w:val="Header"/>
              <w:jc w:val="both"/>
              <w:rPr>
                <w:rFonts w:ascii="Arial" w:hAnsi="Arial" w:cs="Arial"/>
              </w:rPr>
            </w:pPr>
            <w:r>
              <w:rPr>
                <w:rFonts w:ascii="Arial" w:hAnsi="Arial" w:cs="Arial"/>
              </w:rPr>
              <w:t xml:space="preserve">Earmarked </w:t>
            </w:r>
            <w:r w:rsidR="005C5F78">
              <w:rPr>
                <w:rFonts w:ascii="Arial" w:hAnsi="Arial" w:cs="Arial"/>
              </w:rPr>
              <w:t>Reserves</w:t>
            </w:r>
          </w:p>
        </w:tc>
        <w:tc>
          <w:tcPr>
            <w:tcW w:w="4961" w:type="dxa"/>
          </w:tcPr>
          <w:p w14:paraId="78C44D07" w14:textId="40FA12D1" w:rsidR="00A57E55" w:rsidRDefault="00402E88" w:rsidP="00645897">
            <w:pPr>
              <w:pStyle w:val="Header"/>
              <w:jc w:val="both"/>
              <w:rPr>
                <w:rFonts w:ascii="Arial" w:hAnsi="Arial" w:cs="Arial"/>
              </w:rPr>
            </w:pPr>
            <w:r>
              <w:rPr>
                <w:rFonts w:ascii="Arial" w:hAnsi="Arial" w:cs="Arial"/>
              </w:rPr>
              <w:t>Tree Survey</w:t>
            </w:r>
          </w:p>
        </w:tc>
        <w:tc>
          <w:tcPr>
            <w:tcW w:w="1395" w:type="dxa"/>
          </w:tcPr>
          <w:p w14:paraId="1DCC0C57" w14:textId="54B0AA13" w:rsidR="00A57E55" w:rsidRDefault="00402E88" w:rsidP="00645897">
            <w:pPr>
              <w:pStyle w:val="Header"/>
              <w:jc w:val="both"/>
              <w:rPr>
                <w:rFonts w:ascii="Arial" w:hAnsi="Arial" w:cs="Arial"/>
              </w:rPr>
            </w:pPr>
            <w:r>
              <w:rPr>
                <w:rFonts w:ascii="Arial" w:hAnsi="Arial" w:cs="Arial"/>
              </w:rPr>
              <w:t>£800</w:t>
            </w:r>
          </w:p>
        </w:tc>
      </w:tr>
      <w:tr w:rsidR="00402E88" w14:paraId="5CF9327A" w14:textId="77777777" w:rsidTr="003C52F4">
        <w:tc>
          <w:tcPr>
            <w:tcW w:w="2660" w:type="dxa"/>
          </w:tcPr>
          <w:p w14:paraId="4E375226" w14:textId="51982C3F" w:rsidR="00402E88" w:rsidRDefault="003C52F4" w:rsidP="00645897">
            <w:pPr>
              <w:pStyle w:val="Header"/>
              <w:jc w:val="both"/>
              <w:rPr>
                <w:rFonts w:ascii="Arial" w:hAnsi="Arial" w:cs="Arial"/>
              </w:rPr>
            </w:pPr>
            <w:r>
              <w:rPr>
                <w:rFonts w:ascii="Arial" w:hAnsi="Arial" w:cs="Arial"/>
              </w:rPr>
              <w:t>Earmarked</w:t>
            </w:r>
            <w:r w:rsidR="005C5F78">
              <w:rPr>
                <w:rFonts w:ascii="Arial" w:hAnsi="Arial" w:cs="Arial"/>
              </w:rPr>
              <w:t xml:space="preserve"> Reserves</w:t>
            </w:r>
          </w:p>
        </w:tc>
        <w:tc>
          <w:tcPr>
            <w:tcW w:w="4961" w:type="dxa"/>
          </w:tcPr>
          <w:p w14:paraId="3B57660E" w14:textId="740D6A8E" w:rsidR="00402E88" w:rsidRDefault="005F1A9C" w:rsidP="00645897">
            <w:pPr>
              <w:pStyle w:val="Header"/>
              <w:jc w:val="both"/>
              <w:rPr>
                <w:rFonts w:ascii="Arial" w:hAnsi="Arial" w:cs="Arial"/>
              </w:rPr>
            </w:pPr>
            <w:r>
              <w:rPr>
                <w:rFonts w:ascii="Arial" w:hAnsi="Arial" w:cs="Arial"/>
              </w:rPr>
              <w:t xml:space="preserve">ICT Equipment (laptop, printer) </w:t>
            </w:r>
          </w:p>
        </w:tc>
        <w:tc>
          <w:tcPr>
            <w:tcW w:w="1395" w:type="dxa"/>
          </w:tcPr>
          <w:p w14:paraId="22F2F04B" w14:textId="41BDC01F" w:rsidR="00402E88" w:rsidRDefault="005F1A9C" w:rsidP="00645897">
            <w:pPr>
              <w:pStyle w:val="Header"/>
              <w:jc w:val="both"/>
              <w:rPr>
                <w:rFonts w:ascii="Arial" w:hAnsi="Arial" w:cs="Arial"/>
              </w:rPr>
            </w:pPr>
            <w:r>
              <w:rPr>
                <w:rFonts w:ascii="Arial" w:hAnsi="Arial" w:cs="Arial"/>
              </w:rPr>
              <w:t>£500</w:t>
            </w:r>
          </w:p>
        </w:tc>
      </w:tr>
      <w:tr w:rsidR="00F849B0" w14:paraId="2276A610" w14:textId="77777777" w:rsidTr="003C52F4">
        <w:tc>
          <w:tcPr>
            <w:tcW w:w="2660" w:type="dxa"/>
          </w:tcPr>
          <w:p w14:paraId="3A84C28C" w14:textId="2E257E44" w:rsidR="00F849B0" w:rsidRDefault="004C1BC4" w:rsidP="00645897">
            <w:pPr>
              <w:pStyle w:val="Header"/>
              <w:jc w:val="both"/>
              <w:rPr>
                <w:rFonts w:ascii="Arial" w:hAnsi="Arial" w:cs="Arial"/>
              </w:rPr>
            </w:pPr>
            <w:r>
              <w:rPr>
                <w:rFonts w:ascii="Arial" w:hAnsi="Arial" w:cs="Arial"/>
              </w:rPr>
              <w:t>Earmarked Reserves</w:t>
            </w:r>
          </w:p>
        </w:tc>
        <w:tc>
          <w:tcPr>
            <w:tcW w:w="4961" w:type="dxa"/>
          </w:tcPr>
          <w:p w14:paraId="12283646" w14:textId="6F69D376" w:rsidR="00F849B0" w:rsidRDefault="004C1BC4" w:rsidP="00645897">
            <w:pPr>
              <w:pStyle w:val="Header"/>
              <w:jc w:val="both"/>
              <w:rPr>
                <w:rFonts w:ascii="Arial" w:hAnsi="Arial" w:cs="Arial"/>
              </w:rPr>
            </w:pPr>
            <w:r>
              <w:rPr>
                <w:rFonts w:ascii="Arial" w:hAnsi="Arial" w:cs="Arial"/>
              </w:rPr>
              <w:t xml:space="preserve">External Audit provision </w:t>
            </w:r>
          </w:p>
        </w:tc>
        <w:tc>
          <w:tcPr>
            <w:tcW w:w="1395" w:type="dxa"/>
          </w:tcPr>
          <w:p w14:paraId="2BB6E4DC" w14:textId="5E04D466" w:rsidR="00F849B0" w:rsidRDefault="00297294" w:rsidP="00645897">
            <w:pPr>
              <w:pStyle w:val="Header"/>
              <w:jc w:val="both"/>
              <w:rPr>
                <w:rFonts w:ascii="Arial" w:hAnsi="Arial" w:cs="Arial"/>
              </w:rPr>
            </w:pPr>
            <w:r>
              <w:rPr>
                <w:rFonts w:ascii="Arial" w:hAnsi="Arial" w:cs="Arial"/>
              </w:rPr>
              <w:t>£2</w:t>
            </w:r>
            <w:r w:rsidR="004C1BC4">
              <w:rPr>
                <w:rFonts w:ascii="Arial" w:hAnsi="Arial" w:cs="Arial"/>
              </w:rPr>
              <w:t>00</w:t>
            </w:r>
          </w:p>
        </w:tc>
      </w:tr>
      <w:tr w:rsidR="00A57E55" w14:paraId="180F61F8" w14:textId="77777777" w:rsidTr="003C52F4">
        <w:tc>
          <w:tcPr>
            <w:tcW w:w="2660" w:type="dxa"/>
          </w:tcPr>
          <w:p w14:paraId="47FB5916" w14:textId="46CF931B" w:rsidR="00A57E55" w:rsidRDefault="00D32013" w:rsidP="00645897">
            <w:pPr>
              <w:pStyle w:val="Header"/>
              <w:jc w:val="both"/>
              <w:rPr>
                <w:rFonts w:ascii="Arial" w:hAnsi="Arial" w:cs="Arial"/>
              </w:rPr>
            </w:pPr>
            <w:r>
              <w:rPr>
                <w:rFonts w:ascii="Arial" w:hAnsi="Arial" w:cs="Arial"/>
              </w:rPr>
              <w:t xml:space="preserve">Earmarked Reserves </w:t>
            </w:r>
          </w:p>
        </w:tc>
        <w:tc>
          <w:tcPr>
            <w:tcW w:w="4961" w:type="dxa"/>
          </w:tcPr>
          <w:p w14:paraId="10958C11" w14:textId="50526859" w:rsidR="00A57E55" w:rsidRDefault="00D32013" w:rsidP="00645897">
            <w:pPr>
              <w:pStyle w:val="Header"/>
              <w:jc w:val="both"/>
              <w:rPr>
                <w:rFonts w:ascii="Arial" w:hAnsi="Arial" w:cs="Arial"/>
              </w:rPr>
            </w:pPr>
            <w:r>
              <w:rPr>
                <w:rFonts w:ascii="Arial" w:hAnsi="Arial" w:cs="Arial"/>
              </w:rPr>
              <w:t>S137 Funding – Grant Provision</w:t>
            </w:r>
          </w:p>
        </w:tc>
        <w:tc>
          <w:tcPr>
            <w:tcW w:w="1395" w:type="dxa"/>
          </w:tcPr>
          <w:p w14:paraId="542B314E" w14:textId="6B4B6515" w:rsidR="00A57E55" w:rsidRDefault="00D32013" w:rsidP="00645897">
            <w:pPr>
              <w:pStyle w:val="Header"/>
              <w:jc w:val="both"/>
              <w:rPr>
                <w:rFonts w:ascii="Arial" w:hAnsi="Arial" w:cs="Arial"/>
              </w:rPr>
            </w:pPr>
            <w:r>
              <w:rPr>
                <w:rFonts w:ascii="Arial" w:hAnsi="Arial" w:cs="Arial"/>
              </w:rPr>
              <w:t>£1,500</w:t>
            </w:r>
          </w:p>
        </w:tc>
        <w:bookmarkStart w:id="0" w:name="_GoBack"/>
        <w:bookmarkEnd w:id="0"/>
      </w:tr>
      <w:tr w:rsidR="00A57E55" w14:paraId="5F86BA92" w14:textId="77777777" w:rsidTr="003C52F4">
        <w:tc>
          <w:tcPr>
            <w:tcW w:w="2660" w:type="dxa"/>
          </w:tcPr>
          <w:p w14:paraId="212E1866" w14:textId="6F890DF3" w:rsidR="00A57E55" w:rsidRDefault="00D32013" w:rsidP="00645897">
            <w:pPr>
              <w:pStyle w:val="Header"/>
              <w:jc w:val="both"/>
              <w:rPr>
                <w:rFonts w:ascii="Arial" w:hAnsi="Arial" w:cs="Arial"/>
              </w:rPr>
            </w:pPr>
            <w:r>
              <w:rPr>
                <w:rFonts w:ascii="Arial" w:hAnsi="Arial" w:cs="Arial"/>
              </w:rPr>
              <w:t xml:space="preserve">TOTAL </w:t>
            </w:r>
          </w:p>
        </w:tc>
        <w:tc>
          <w:tcPr>
            <w:tcW w:w="4961" w:type="dxa"/>
          </w:tcPr>
          <w:p w14:paraId="006AC877" w14:textId="77777777" w:rsidR="00A57E55" w:rsidRDefault="00A57E55" w:rsidP="00645897">
            <w:pPr>
              <w:pStyle w:val="Header"/>
              <w:jc w:val="both"/>
              <w:rPr>
                <w:rFonts w:ascii="Arial" w:hAnsi="Arial" w:cs="Arial"/>
              </w:rPr>
            </w:pPr>
          </w:p>
        </w:tc>
        <w:tc>
          <w:tcPr>
            <w:tcW w:w="1395" w:type="dxa"/>
          </w:tcPr>
          <w:p w14:paraId="1B9934AE" w14:textId="5AB00ACB" w:rsidR="00A57E55" w:rsidRDefault="00D32013" w:rsidP="00645897">
            <w:pPr>
              <w:pStyle w:val="Header"/>
              <w:jc w:val="both"/>
              <w:rPr>
                <w:rFonts w:ascii="Arial" w:hAnsi="Arial" w:cs="Arial"/>
              </w:rPr>
            </w:pPr>
            <w:r>
              <w:rPr>
                <w:rFonts w:ascii="Arial" w:hAnsi="Arial" w:cs="Arial"/>
              </w:rPr>
              <w:t>£12,068</w:t>
            </w:r>
          </w:p>
        </w:tc>
      </w:tr>
    </w:tbl>
    <w:p w14:paraId="10A860D2" w14:textId="0C82C62E" w:rsidR="00A57E55" w:rsidRDefault="00A57E55" w:rsidP="00645897">
      <w:pPr>
        <w:pStyle w:val="Header"/>
        <w:jc w:val="both"/>
        <w:rPr>
          <w:rFonts w:ascii="Arial" w:hAnsi="Arial" w:cs="Arial"/>
        </w:rPr>
      </w:pPr>
    </w:p>
    <w:p w14:paraId="2A79DA13" w14:textId="1A76BD66" w:rsidR="00645897" w:rsidRPr="00DD28E1" w:rsidRDefault="00645897" w:rsidP="00645897">
      <w:pPr>
        <w:pStyle w:val="Header"/>
        <w:jc w:val="both"/>
        <w:rPr>
          <w:rFonts w:ascii="Arial" w:hAnsi="Arial" w:cs="Arial"/>
          <w:b/>
        </w:rPr>
      </w:pPr>
      <w:r w:rsidRPr="00DD28E1">
        <w:rPr>
          <w:rFonts w:ascii="Arial" w:hAnsi="Arial" w:cs="Arial"/>
          <w:b/>
        </w:rPr>
        <w:t>Signed by:</w:t>
      </w:r>
      <w:r w:rsidRPr="00DD28E1">
        <w:rPr>
          <w:rFonts w:ascii="Arial" w:hAnsi="Arial" w:cs="Arial"/>
          <w:b/>
        </w:rPr>
        <w:tab/>
      </w:r>
      <w:r w:rsidR="000E72B9">
        <w:rPr>
          <w:rFonts w:ascii="Arial" w:hAnsi="Arial" w:cs="Arial"/>
          <w:b/>
        </w:rPr>
        <w:tab/>
      </w:r>
      <w:r w:rsidRPr="00DD28E1">
        <w:rPr>
          <w:rFonts w:ascii="Arial" w:hAnsi="Arial" w:cs="Arial"/>
          <w:b/>
        </w:rPr>
        <w:t>Dated:</w:t>
      </w:r>
      <w:r w:rsidR="000E72B9" w:rsidRPr="000E72B9">
        <w:rPr>
          <w:rFonts w:ascii="Arial" w:hAnsi="Arial" w:cs="Arial"/>
          <w:b/>
        </w:rPr>
        <w:t xml:space="preserve"> </w:t>
      </w:r>
      <w:r w:rsidR="000E72B9">
        <w:rPr>
          <w:rFonts w:ascii="Arial" w:hAnsi="Arial" w:cs="Arial"/>
          <w:b/>
        </w:rPr>
        <w:t>19 M</w:t>
      </w:r>
      <w:r w:rsidR="000E72B9">
        <w:rPr>
          <w:rFonts w:ascii="Arial" w:hAnsi="Arial" w:cs="Arial"/>
          <w:b/>
        </w:rPr>
        <w:t>a</w:t>
      </w:r>
      <w:r w:rsidR="000E72B9">
        <w:rPr>
          <w:rFonts w:ascii="Arial" w:hAnsi="Arial" w:cs="Arial"/>
          <w:b/>
        </w:rPr>
        <w:t>y 2021</w:t>
      </w:r>
    </w:p>
    <w:p w14:paraId="74B5D298" w14:textId="7E5D0F3F" w:rsidR="00645897" w:rsidRPr="00DD28E1" w:rsidRDefault="00645897" w:rsidP="00645897">
      <w:pPr>
        <w:pStyle w:val="Header"/>
        <w:jc w:val="both"/>
        <w:rPr>
          <w:rFonts w:ascii="Arial" w:hAnsi="Arial" w:cs="Arial"/>
          <w:b/>
        </w:rPr>
      </w:pPr>
    </w:p>
    <w:p w14:paraId="531ED1CE" w14:textId="2FDEA762" w:rsidR="00645897" w:rsidRPr="00DD28E1" w:rsidRDefault="00645897" w:rsidP="00645897">
      <w:pPr>
        <w:pStyle w:val="Header"/>
        <w:jc w:val="both"/>
        <w:rPr>
          <w:rFonts w:ascii="Arial" w:hAnsi="Arial" w:cs="Arial"/>
        </w:rPr>
      </w:pPr>
      <w:r w:rsidRPr="00DD28E1">
        <w:rPr>
          <w:rFonts w:ascii="Arial" w:hAnsi="Arial" w:cs="Arial"/>
          <w:b/>
        </w:rPr>
        <w:t>Chairman</w:t>
      </w:r>
      <w:r w:rsidRPr="00DD28E1">
        <w:rPr>
          <w:rFonts w:ascii="Arial" w:hAnsi="Arial" w:cs="Arial"/>
        </w:rPr>
        <w:tab/>
      </w:r>
      <w:r w:rsidRPr="00DD28E1">
        <w:rPr>
          <w:rFonts w:ascii="Arial" w:hAnsi="Arial" w:cs="Arial"/>
        </w:rPr>
        <w:tab/>
      </w:r>
    </w:p>
    <w:p w14:paraId="48D9CDF2" w14:textId="6277D791" w:rsidR="00645897" w:rsidRPr="00DD28E1" w:rsidRDefault="00645897" w:rsidP="00645897">
      <w:pPr>
        <w:pStyle w:val="Header"/>
        <w:pBdr>
          <w:top w:val="single" w:sz="4" w:space="1" w:color="auto"/>
        </w:pBdr>
        <w:rPr>
          <w:rFonts w:ascii="Arial" w:hAnsi="Arial" w:cs="Arial"/>
          <w:i/>
        </w:rPr>
      </w:pPr>
      <w:r w:rsidRPr="00DD28E1">
        <w:rPr>
          <w:rFonts w:ascii="Arial" w:hAnsi="Arial" w:cs="Arial"/>
          <w:i/>
        </w:rPr>
        <w:t>Version Control:</w:t>
      </w:r>
    </w:p>
    <w:p w14:paraId="3958AE42" w14:textId="7A19FB44" w:rsidR="00BC5D75" w:rsidRPr="00BC5D75" w:rsidRDefault="00645897" w:rsidP="00D32013">
      <w:pPr>
        <w:pStyle w:val="Header"/>
        <w:rPr>
          <w:rFonts w:ascii="Arial" w:hAnsi="Arial" w:cs="Arial"/>
          <w:i/>
        </w:rPr>
      </w:pPr>
      <w:r w:rsidRPr="00DD28E1">
        <w:rPr>
          <w:rFonts w:ascii="Arial" w:hAnsi="Arial" w:cs="Arial"/>
          <w:i/>
        </w:rPr>
        <w:t>Adopted:</w:t>
      </w:r>
      <w:r w:rsidRPr="00DD28E1">
        <w:rPr>
          <w:rFonts w:ascii="Arial" w:hAnsi="Arial" w:cs="Arial"/>
          <w:i/>
        </w:rPr>
        <w:tab/>
        <w:t>Minute ref:</w:t>
      </w:r>
      <w:r w:rsidR="00D32013">
        <w:rPr>
          <w:rFonts w:ascii="Arial" w:hAnsi="Arial" w:cs="Arial"/>
          <w:i/>
        </w:rPr>
        <w:tab/>
      </w:r>
      <w:r w:rsidRPr="00DD28E1">
        <w:rPr>
          <w:rFonts w:ascii="Arial" w:hAnsi="Arial" w:cs="Arial"/>
          <w:i/>
        </w:rPr>
        <w:t>Review Date:</w:t>
      </w:r>
      <w:r w:rsidR="00BC5D75">
        <w:rPr>
          <w:rFonts w:ascii="Arial" w:hAnsi="Arial" w:cs="Arial"/>
          <w:i/>
        </w:rPr>
        <w:t xml:space="preserve"> May 202</w:t>
      </w:r>
      <w:r w:rsidR="00A4045B">
        <w:rPr>
          <w:rFonts w:ascii="Arial" w:hAnsi="Arial" w:cs="Arial"/>
          <w:i/>
        </w:rPr>
        <w:t>2</w:t>
      </w:r>
    </w:p>
    <w:sectPr w:rsidR="00BC5D75" w:rsidRPr="00BC5D75" w:rsidSect="005F1A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948A" w14:textId="77777777" w:rsidR="00943356" w:rsidRDefault="00943356" w:rsidP="00FB3272">
      <w:pPr>
        <w:spacing w:after="0" w:line="240" w:lineRule="auto"/>
      </w:pPr>
      <w:r>
        <w:separator/>
      </w:r>
    </w:p>
  </w:endnote>
  <w:endnote w:type="continuationSeparator" w:id="0">
    <w:p w14:paraId="540DA798" w14:textId="77777777" w:rsidR="00943356" w:rsidRDefault="00943356" w:rsidP="00FB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EC510" w14:textId="77777777" w:rsidR="00943356" w:rsidRDefault="00943356" w:rsidP="00FB3272">
      <w:pPr>
        <w:spacing w:after="0" w:line="240" w:lineRule="auto"/>
      </w:pPr>
      <w:r>
        <w:separator/>
      </w:r>
    </w:p>
  </w:footnote>
  <w:footnote w:type="continuationSeparator" w:id="0">
    <w:p w14:paraId="60845CD8" w14:textId="77777777" w:rsidR="00943356" w:rsidRDefault="00943356" w:rsidP="00FB3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B7EB6"/>
    <w:multiLevelType w:val="hybridMultilevel"/>
    <w:tmpl w:val="AB1828B6"/>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97"/>
    <w:rsid w:val="0002780B"/>
    <w:rsid w:val="000546D6"/>
    <w:rsid w:val="000E72B9"/>
    <w:rsid w:val="000F04A0"/>
    <w:rsid w:val="00110E38"/>
    <w:rsid w:val="00115EB8"/>
    <w:rsid w:val="001509D3"/>
    <w:rsid w:val="00193DBB"/>
    <w:rsid w:val="00297294"/>
    <w:rsid w:val="00303CF9"/>
    <w:rsid w:val="00341703"/>
    <w:rsid w:val="003654EB"/>
    <w:rsid w:val="003B4C04"/>
    <w:rsid w:val="003C52F4"/>
    <w:rsid w:val="003E1648"/>
    <w:rsid w:val="00402E88"/>
    <w:rsid w:val="004A76D1"/>
    <w:rsid w:val="004C1BC4"/>
    <w:rsid w:val="005168A1"/>
    <w:rsid w:val="00562393"/>
    <w:rsid w:val="005C5F78"/>
    <w:rsid w:val="005F1A9C"/>
    <w:rsid w:val="00645897"/>
    <w:rsid w:val="00700910"/>
    <w:rsid w:val="00730403"/>
    <w:rsid w:val="00773D7B"/>
    <w:rsid w:val="007C5C47"/>
    <w:rsid w:val="007F45A4"/>
    <w:rsid w:val="00943356"/>
    <w:rsid w:val="00954B12"/>
    <w:rsid w:val="00987144"/>
    <w:rsid w:val="00996547"/>
    <w:rsid w:val="009A7EC0"/>
    <w:rsid w:val="009B7CEA"/>
    <w:rsid w:val="009F1DBE"/>
    <w:rsid w:val="00A4045B"/>
    <w:rsid w:val="00A57E55"/>
    <w:rsid w:val="00A66262"/>
    <w:rsid w:val="00A96EE1"/>
    <w:rsid w:val="00AC39F2"/>
    <w:rsid w:val="00BC5D75"/>
    <w:rsid w:val="00C53C8D"/>
    <w:rsid w:val="00C81D54"/>
    <w:rsid w:val="00CA5B9E"/>
    <w:rsid w:val="00CC0523"/>
    <w:rsid w:val="00CC108C"/>
    <w:rsid w:val="00D32013"/>
    <w:rsid w:val="00D32CBC"/>
    <w:rsid w:val="00D55B76"/>
    <w:rsid w:val="00D672CB"/>
    <w:rsid w:val="00D677E2"/>
    <w:rsid w:val="00DD28E1"/>
    <w:rsid w:val="00F849B0"/>
    <w:rsid w:val="00FB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897"/>
    <w:rPr>
      <w:color w:val="0563C1" w:themeColor="hyperlink"/>
      <w:u w:val="single"/>
    </w:rPr>
  </w:style>
  <w:style w:type="paragraph" w:styleId="Header">
    <w:name w:val="header"/>
    <w:basedOn w:val="Normal"/>
    <w:link w:val="HeaderChar"/>
    <w:uiPriority w:val="99"/>
    <w:unhideWhenUsed/>
    <w:rsid w:val="00645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97"/>
  </w:style>
  <w:style w:type="table" w:styleId="TableGrid">
    <w:name w:val="Table Grid"/>
    <w:basedOn w:val="TableNormal"/>
    <w:uiPriority w:val="39"/>
    <w:rsid w:val="00A5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897"/>
    <w:rPr>
      <w:color w:val="0563C1" w:themeColor="hyperlink"/>
      <w:u w:val="single"/>
    </w:rPr>
  </w:style>
  <w:style w:type="paragraph" w:styleId="Header">
    <w:name w:val="header"/>
    <w:basedOn w:val="Normal"/>
    <w:link w:val="HeaderChar"/>
    <w:uiPriority w:val="99"/>
    <w:unhideWhenUsed/>
    <w:rsid w:val="00645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97"/>
  </w:style>
  <w:style w:type="table" w:styleId="TableGrid">
    <w:name w:val="Table Grid"/>
    <w:basedOn w:val="TableNormal"/>
    <w:uiPriority w:val="39"/>
    <w:rsid w:val="00A5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Digby Carter</dc:creator>
  <cp:lastModifiedBy>AGC</cp:lastModifiedBy>
  <cp:revision>3</cp:revision>
  <dcterms:created xsi:type="dcterms:W3CDTF">2021-05-18T16:40:00Z</dcterms:created>
  <dcterms:modified xsi:type="dcterms:W3CDTF">2021-05-20T16:18:00Z</dcterms:modified>
</cp:coreProperties>
</file>